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Международно-правовое обеспечение качества образования</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97.7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«Международно- правовое обеспечение качества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«Международно-правовое обеспечение качества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«Международно-правовое обеспечение качества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«Международно-правовое обеспечение качества образования» относится к обязательной части, является дисциплиной Блока Б1. «Дисциплины (модули)». Модуль "Образовательное право"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Восстановительное правосудие и медиация</w:t>
            </w:r>
          </w:p>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высшего образования в Европе: Болонский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сеть обеспечения качества в высшем образовании ENQA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Болонский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Конституционное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права на образование как естественного права и как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Регулирование прав учащихся, воспитанников,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содержание права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Федеральный закон от 30 декабря 2012 г. № 273- ФЗ «Об образовании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закон от 30 декабря 2012 г. № 273-ФЗ «Об образовании в Российской Федерации»: структура, содержание, общие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деятельность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Международно-правовые стандарты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Болонский процесс.</w:t>
            </w:r>
          </w:p>
          <w:p>
            <w:pPr>
              <w:jc w:val="left"/>
              <w:spacing w:after="0" w:line="240" w:lineRule="auto"/>
              <w:rPr>
                <w:sz w:val="24"/>
                <w:szCs w:val="24"/>
              </w:rPr>
            </w:pPr>
            <w:r>
              <w:rPr>
                <w:rFonts w:ascii="Times New Roman" w:hAnsi="Times New Roman" w:cs="Times New Roman"/>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 Акты ООН, регулирующие отдельные аспекты образовательных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 по вариантам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81.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Реформа высшего образования в Европе: Болонский процесс</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Осуществление международного сотрудничества Российской Федерации в области высшего и послевузовского профессионального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права на образование как естественного права и как конституционного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на образование: понятие и содержание в международных документах, Конституции Российской Федерации и законодательстве.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закон от 30 декабря 2012 г. № 273-ФЗ «Об образовании в Российской Федерации»: структура, содержание, общие положения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образования, управление системой образования, экономика системы образования, социальные гарантии реализации права граждан на образование.</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Болонский процесс.</w:t>
            </w:r>
          </w:p>
          <w:p>
            <w:pPr>
              <w:jc w:val="center"/>
              <w:spacing w:after="0" w:line="240" w:lineRule="auto"/>
              <w:rPr>
                <w:sz w:val="24"/>
                <w:szCs w:val="24"/>
              </w:rPr>
            </w:pPr>
            <w:r>
              <w:rPr>
                <w:rFonts w:ascii="Times New Roman" w:hAnsi="Times New Roman" w:cs="Times New Roman"/>
                <w:b/>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 Акты ООН, регулирующие отдельные аспекты образовательных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Всеобщая декларация прав человека. Международный пакт об экономических, социальных и культурных правах. Конвенция о правах ребенка. Декларация о правах лиц, принадлежащих к национальным, этническим, религиозным и языковым меньшинствам.</w:t>
            </w:r>
          </w:p>
          <w:p>
            <w:pPr>
              <w:jc w:val="both"/>
              <w:spacing w:after="0" w:line="240" w:lineRule="auto"/>
              <w:rPr>
                <w:sz w:val="24"/>
                <w:szCs w:val="24"/>
              </w:rPr>
            </w:pPr>
            <w:r>
              <w:rPr>
                <w:rFonts w:ascii="Times New Roman" w:hAnsi="Times New Roman" w:cs="Times New Roman"/>
                <w:color w:val="#000000"/>
                <w:sz w:val="24"/>
                <w:szCs w:val="24"/>
              </w:rPr>
              <w:t> Документы ЮНЕСКО по вопросам образования.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Болонский процесс.</w:t>
            </w:r>
          </w:p>
        </w:tc>
      </w:tr>
      <w:tr>
        <w:trPr>
          <w:trHeight w:hRule="exact" w:val="21.3149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высшего образования в Европе: Болонский процесс. Система кредитных единиц ECTS.</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содержание права на образование</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регулирования права на образование в международном и российском законодательстве. Современное содержание права на образование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управление системой образования, экономика системы образования, социальные гарантии реализации права граждан на образование, международная деятельность в области образования.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Международные договоры Российской Федерации и общепризнанные принципы и нормы международного права в системе источников образовательного права.</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Конвенция о борьбе с дискриминацией в области образования. Региональные конвенции о признании учебных курсов, дипломов о высшем образовании и ученых степеней. Конвенция о техническом и профессиональном образовании. Всемирная декларация об образовании для всех. Рекомендация о развитии образования взрослых. «Всемирная декларация о высшем образовании для XXI века: подходы и практические меры». Правовые акты Совета Европы. Конвенция о защите прав человека и основных свобод. Европейская культурная конвенция. Европейская социальная хартия. Европейская конвенция об эквивалентности дипломов, открывающих доступ в университеты (ETS №15). Европейская конвенция об эквивалентности университетских периодов обучения (ETS №21). Европейская конвенция об академическом признании университетских квалификаций (ETS №32). Европейская хартия региональных языков или языков меньшинств.  Документы Международной Организации Труда в системе источников международного образовательного права. Конвенция №142 о профессиональной ориентации и профессиональной подготовке в области развития людских ресурсов. Рекомендация №136 о специальных программах обеспечения занятости и подготовке молодежи в целях развития. Совместные документы международных организаций. Лиссабонская конвенция о признании квалификаций, относящихся к высшему образованию в европейском регионе (ETS №165).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«Международно- правовое обеспечение качества образования»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Поликультурное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многонациональном</w:t>
            </w:r>
            <w:r>
              <w:rPr/>
              <w:t xml:space="preserve"> </w:t>
            </w:r>
            <w:r>
              <w:rPr>
                <w:rFonts w:ascii="Times New Roman" w:hAnsi="Times New Roman" w:cs="Times New Roman"/>
                <w:color w:val="#000000"/>
                <w:sz w:val="24"/>
                <w:szCs w:val="24"/>
              </w:rPr>
              <w:t>социуме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978-5-9916-5986-4.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https://www.biblio-online.ru/bcode/387180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Горшков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https://urait.ru/bcode/424692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http://lib.omga.su/files/s/savchenko_upr_obr.pdf</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Горшков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https://urait.ru/bcode/410466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https://urait.ru/bcode/416187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http://www.iprbookshop.ru/66315.html</w:t>
            </w:r>
            <w:r>
              <w:rPr/>
              <w:t xml:space="preserve"> </w:t>
            </w:r>
          </w:p>
        </w:tc>
      </w:tr>
      <w:tr>
        <w:trPr>
          <w:trHeight w:hRule="exact" w:val="3260.16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Полилингвальное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основа</w:t>
            </w:r>
            <w:r>
              <w:rPr/>
              <w:t xml:space="preserve"> </w:t>
            </w:r>
            <w:r>
              <w:rPr>
                <w:rFonts w:ascii="Times New Roman" w:hAnsi="Times New Roman" w:cs="Times New Roman"/>
                <w:color w:val="#000000"/>
                <w:sz w:val="24"/>
                <w:szCs w:val="24"/>
              </w:rPr>
              <w:t>сохранения</w:t>
            </w:r>
            <w:r>
              <w:rPr/>
              <w:t xml:space="preserve"> </w:t>
            </w:r>
            <w:r>
              <w:rPr>
                <w:rFonts w:ascii="Times New Roman" w:hAnsi="Times New Roman" w:cs="Times New Roman"/>
                <w:color w:val="#000000"/>
                <w:sz w:val="24"/>
                <w:szCs w:val="24"/>
              </w:rPr>
              <w:t>языкового</w:t>
            </w:r>
            <w:r>
              <w:rPr/>
              <w:t xml:space="preserve"> </w:t>
            </w:r>
            <w:r>
              <w:rPr>
                <w:rFonts w:ascii="Times New Roman" w:hAnsi="Times New Roman" w:cs="Times New Roman"/>
                <w:color w:val="#000000"/>
                <w:sz w:val="24"/>
                <w:szCs w:val="24"/>
              </w:rPr>
              <w:t>наследия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культурного</w:t>
            </w:r>
            <w:r>
              <w:rPr/>
              <w:t xml:space="preserve"> </w:t>
            </w:r>
            <w:r>
              <w:rPr>
                <w:rFonts w:ascii="Times New Roman" w:hAnsi="Times New Roman" w:cs="Times New Roman"/>
                <w:color w:val="#000000"/>
                <w:sz w:val="24"/>
                <w:szCs w:val="24"/>
              </w:rPr>
              <w:t>разнообразия</w:t>
            </w:r>
            <w:r>
              <w:rPr/>
              <w:t xml:space="preserve"> </w:t>
            </w:r>
            <w:r>
              <w:rPr>
                <w:rFonts w:ascii="Times New Roman" w:hAnsi="Times New Roman" w:cs="Times New Roman"/>
                <w:color w:val="#000000"/>
                <w:sz w:val="24"/>
                <w:szCs w:val="24"/>
              </w:rPr>
              <w:t>человечества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Алборова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Алибегашвили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Бзаров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Боженская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Габанова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Габеева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Гасиева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Гиоева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Джериева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Дзедаева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Дзидзоева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Едзиева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Зембатова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Игнатович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Кажигалиева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Киргуева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Кокаева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Кокаева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Критарова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Кулумбегова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Макоева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Малкарова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Мисикова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Молодинашвили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Мюллер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Платохина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Рыбникова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Сиукаева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Суджашвили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Тадтаев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Тбоева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Фардзинова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Фидарова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Хабаева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Хугаева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Газаева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http://www.iprbookshop.ru/64914.html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мед)(24)_plx_Международно-правовое обеспечение качества образования</dc:title>
  <dc:creator>FastReport.NET</dc:creator>
</cp:coreProperties>
</file>